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Законы Мура. Основные характеристики процессоров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 преподавателем)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Законы Мура. Основные характеристики процессоров, урок №10 (по теме 1.4 — №1)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изучения и первичного закрепления новых знаний (вид: теоретическое занятие с практикумом)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 (ИКТ), проблемное обучение, опережающее обучение, дифференцированное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систему знаний о физических и микроархитектурных основах функционирования процессоров, законе Мура, масштабировании Деннарда, «тепловой стене», разоблачении «мегагерцевого мифа» и границах многоядерности по закону Амдала.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</w:t>
              <w:br/>
              <w:t>— изучить закон Мура и правило Деннарда;</w:t>
              <w:br/>
              <w:t>— раскрыть физику «тепловой стены» (токи утечки, квантовое туннелирование);</w:t>
              <w:br/>
              <w:t>— освоить характеристики ЦП (частота, IPC, конвейеризация, суперскалярность, кэш L1–L3, TDP, PL1/PL2);</w:t>
              <w:br/>
              <w:t>— освоить расчет ускорения по закону Амдала.</w:t>
            </w:r>
          </w:p>
        </w:tc>
        <w:tc>
          <w:tcPr>
            <w:tcW w:w="1246" w:type="pct"/>
            <w:gridSpan w:val="2"/>
          </w:tcPr>
          <w:p>
            <w:r>
              <w:t>Развивающие:</w:t>
              <w:br/>
              <w:t>— развить аналитические навыки сопоставления спецификаций процессоров;</w:t>
              <w:br/>
              <w:t>— сформировать умение выявления узких мест (Memory-bound, Cache-bound, Compute-bound);</w:t>
              <w:br/>
              <w:t>— развить инженерно-критическое мышление при разоблачении «мегагерцевого мифа».</w:t>
            </w:r>
          </w:p>
        </w:tc>
        <w:tc>
          <w:tcPr>
            <w:tcW w:w="1273" w:type="pct"/>
          </w:tcPr>
          <w:p>
            <w:r>
              <w:t>Воспитательные:</w:t>
              <w:br/>
              <w:t>— воспитать культуру использования строгой технической терминологии;</w:t>
              <w:br/>
              <w:t>— сформировать аккуратность и ответственность при оформлении технических протоколов;</w:t>
              <w:br/>
              <w:t>— развить познавательную активность и устойчивый интерес к изучению микропроцессорной техники.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З 1 (архитектура ЦВС), З 2 (принципы работы логических блоков), З 9 (конструктивные элементы СВТ), З 12 (назначение и принципы работы узлов), З 13 (структурные схемы и порядок взаимодействия).</w:t>
              <w:br/>
              <w:t>Умения: У 2 (идентифицировать основные узлы ПК, разъемы подключения), У 4 (определять совместимость аппаратного и программного обеспечения).</w:t>
              <w:br/>
              <w:t>Компетенции: ОК 01, ОК 02, ОК 04, ОК 05, ОК 09.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ПК преподавателя, мультимедийный проектор, экран, ПК обучающихся с веб-браузером, локальный методический веб-комплект (lekciya.html, prezentaciya.html, zanyatie.html, domashnee_zadanie.html)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организовать внимание обучающихся, актуализировать базовые знания о процессоре, поставить проблему частоты и производительности</w:t>
            </w:r>
          </w:p>
        </w:tc>
        <w:tc>
          <w:tcPr>
            <w:tcW w:w="1859" w:type="pct"/>
            <w:gridSpan w:val="2"/>
          </w:tcPr>
          <w:p>
            <w:r>
              <w:t>Длительность: 5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посещаемость в журнале. Формулирует парадокс: Pentium 4 (3.8 ГГц) против Core 2 Duo (2.4 ГГц). Ставит тему и задачи занятия.</w:t>
            </w:r>
          </w:p>
        </w:tc>
        <w:tc>
          <w:tcPr>
            <w:tcW w:w="1864" w:type="pct"/>
            <w:gridSpan w:val="2"/>
          </w:tcPr>
          <w:p>
            <w:r>
              <w:t>Включаются в учебную деятельность. Отвечают на вопросы о частоте и ядрах. Осознают инженерный парадокс. Записывают тему в тетради.</w:t>
            </w:r>
          </w:p>
        </w:tc>
        <w:tc>
          <w:tcPr>
            <w:tcW w:w="1859" w:type="pct"/>
            <w:gridSpan w:val="2"/>
          </w:tcPr>
          <w:p>
            <w:r>
              <w:t>ОК 01,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систему понятий о законе Мура, правиле Деннарда, тепловой стене, IPC, конвейере, кэш-памяти и законе Амдала</w:t>
            </w:r>
          </w:p>
        </w:tc>
        <w:tc>
          <w:tcPr>
            <w:tcW w:w="1859" w:type="pct"/>
            <w:gridSpan w:val="2"/>
          </w:tcPr>
          <w:p>
            <w:r>
              <w:t>Длительность: 40 мин (25+15 мин при 80 мин) / 28 мин (18+10 мин при 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закон Мура (плотность транзисторов), масштабирование Деннарда (P_dyn = C*V^2*f), физику тепловой стены (токи утечки). Демонстрирует формулу CPU_Time = I / (IPC * f) и расчет по закону Амдала. Разбирает технологии чиплетов и 3D V-Cache.</w:t>
            </w:r>
          </w:p>
        </w:tc>
        <w:tc>
          <w:tcPr>
            <w:tcW w:w="1864" w:type="pct"/>
            <w:gridSpan w:val="2"/>
          </w:tcPr>
          <w:p>
            <w:r>
              <w:t>Конспектируют ключевые формулы, сопоставляют уровни кэш-памяти и задержки обращения к ОЗУ. Следят за демонстрационным расчетом ускорения при многоядерности.</w:t>
            </w:r>
          </w:p>
        </w:tc>
        <w:tc>
          <w:tcPr>
            <w:tcW w:w="1859" w:type="pct"/>
            <w:gridSpan w:val="2"/>
          </w:tcPr>
          <w:p>
            <w:r>
              <w:t>ОК 01, ОК 02, ОК 09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устойчивое практическое умение сопоставления параметров процессоров, расчета закона Амдала и архитектурного анализа сценариев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(80 мин) / 15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в интерактивном бланке zanyatie.html. Инструктирует по 4-балльной матрице (2 б. корректность, 1 б. объяснение, 1 б. проверка варианта). Консультирует обучающихся.</w:t>
            </w:r>
          </w:p>
        </w:tc>
        <w:tc>
          <w:tcPr>
            <w:tcW w:w="1864" w:type="pct"/>
            <w:gridSpan w:val="2"/>
          </w:tcPr>
          <w:p>
            <w:r>
              <w:t>Индивидуально выполняют задания в zanyatie.html: заполняют матрицу характеристик 4 CPU, производят расчет закона Амдала, анализируют выбранный вариант нагрузки (киберспорт, 3D-рендеринг, HFT или CFD).</w:t>
            </w:r>
          </w:p>
        </w:tc>
        <w:tc>
          <w:tcPr>
            <w:tcW w:w="1859" w:type="pct"/>
            <w:gridSpan w:val="2"/>
          </w:tcPr>
          <w:p>
            <w:r>
              <w:t>ОК 01, ОК 02, ОК 04, ОК 09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устранить выявленные пробелы, подвести итоги занятия, зафиксировать индивидуальные оценки, дать инструктаж по резервному заданию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(10+5 мин при 80 мин) / 12 мин (7+5 мин при 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типичных ошибок: отождествление закона Мура с частотой, ошибки долей в законе Амдала, игнорирование влияния кэша 3D V-Cache на задержки. Выставляет оценки по 4-балльной шкале. Разъясняет статус domashnee_zadanie.html.</w:t>
            </w:r>
          </w:p>
        </w:tc>
        <w:tc>
          <w:tcPr>
            <w:tcW w:w="1864" w:type="pct"/>
            <w:gridSpan w:val="2"/>
          </w:tcPr>
          <w:p>
            <w:r>
              <w:t>Участвуют в анализе типичных ошибок, сопоставляют свои решения с комментариями преподавателя. Экспортируют протокол в PDF. Фиксируют оценки.</w:t>
            </w:r>
          </w:p>
        </w:tc>
        <w:tc>
          <w:tcPr>
            <w:tcW w:w="1859" w:type="pct"/>
            <w:gridSpan w:val="2"/>
          </w:tcPr>
          <w:p>
            <w:r>
              <w:t>ОК 01,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