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Практическое занятие №2 «Логические элементы. Базовые схемы»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группа: уточняется преподавателем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№2 «Логические элементы. Базовые схемы» (Занятие №7 по КТП)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Уточняется преподавателем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применения знаний и умений (практическое занятие)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и исследовательского обучения, практико-ориентированное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Формирование практических навыков анализа комбинационных логических схем, поэтапной трассировки логических сигналов, составления полных таблиц истинности и локализации аппаратных ошибок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Освоить алгоритмы трассировки логических вентилей НЕ, И, ИЛИ; научиться составлять таблицы истинности на 8 состояний; сформировать умение локализовать неисправности в топологии схемы.</w:t>
            </w:r>
          </w:p>
        </w:tc>
        <w:tc>
          <w:tcPr>
            <w:tcW w:w="1246" w:type="pct"/>
            <w:gridSpan w:val="2"/>
          </w:tcPr>
          <w:p>
            <w:r>
              <w:t>Развивать логическое и алгоритмическое мышление, навыки системного схемотехнического анализа, умение выявлять причинно-следственные связи при аппаратных дефектах.</w:t>
            </w:r>
          </w:p>
        </w:tc>
        <w:tc>
          <w:tcPr>
            <w:tcW w:w="1273" w:type="pct"/>
          </w:tcPr>
          <w:p>
            <w:r>
              <w:t>Воспитывать профессиональную аккуратность при документировании расчетов, точность в инженерных формулировках, культуру информационной безопасности и сохранения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назначение и таблицы истинности базовых элементов {НЕ, И, ИЛИ}, правила булевой алгебры; Умения: рассчитывать промежуточные и выходные сигналы схемы, выявлять расхождения на тестовых наборах, находить дефектные цепи; Компетенции: ОК 01, ОК 02, ОК 04, ПК 4.1, ПК 4.2.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с установленным браузером, интерактивные автономные листы практической работы HTML, проектор, раздаточные методические материалы.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Организация группы, актуализация опорных понятий булевой логики и базовых элементов</w:t>
            </w:r>
          </w:p>
        </w:tc>
        <w:tc>
          <w:tcPr>
            <w:tcW w:w="1859" w:type="pct"/>
            <w:gridSpan w:val="2"/>
          </w:tcPr>
          <w:p>
            <w:r>
              <w:t>Длительность этапа: 15 мин (80 мин) / 12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студентов, фиксирует присутствующих. Формулирует цель практической работы: расчет состояний комбинационной схемы и локализация дефектов. Проводит экспресс-опрос по таблицам истинности вентилей НЕ, И, ИЛИ, правилам расчета числа комбинаций 2^n.</w:t>
            </w:r>
          </w:p>
        </w:tc>
        <w:tc>
          <w:tcPr>
            <w:tcW w:w="1864" w:type="pct"/>
            <w:gridSpan w:val="2"/>
          </w:tcPr>
          <w:p>
            <w:r>
              <w:t>Готовят рабочие места, открывают интерактивный лист practical worksheet. Отвечают на вопросы, воспроизводят логику работы инвертора, конъюнктора и дизъюнктора. Заполняют идентификационные данные (ФИО, группа, дата).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Демонстрация метода декомпозиции схемы на узлы и выдача индивидуального задания</w:t>
            </w:r>
          </w:p>
        </w:tc>
        <w:tc>
          <w:tcPr>
            <w:tcW w:w="1859" w:type="pct"/>
            <w:gridSpan w:val="2"/>
          </w:tcPr>
          <w:p>
            <w:r>
              <w:t>Длительность этапа: 5 мин (80 мин) / 5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на экране процедуру декомпозиции сложной функции F=(A∧B̄)∨(B∧C) на узлы: X1=B̄, X2=A∧X1, X3=B∧C, F=X2∨X3. Разъясняет недопустимость вычислений 'в уме'. Доводит критерии оценки (4 балла: 2 корректность, 1 объяснение, 1 диагностика).</w:t>
            </w:r>
          </w:p>
        </w:tc>
        <w:tc>
          <w:tcPr>
            <w:tcW w:w="1864" w:type="pct"/>
            <w:gridSpan w:val="2"/>
          </w:tcPr>
          <w:p>
            <w:r>
              <w:t>Анализируют топологию логических связей, фиксируют правила промежуточной фиксации уровней сигналов. Задают уточняющие вопросы по интерфейсу рабочего листа.</w:t>
            </w:r>
          </w:p>
        </w:tc>
        <w:tc>
          <w:tcPr>
            <w:tcW w:w="1859" w:type="pct"/>
            <w:gridSpan w:val="2"/>
          </w:tcPr>
          <w:p>
            <w:r>
              <w:t>ОК 01,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Самостоятельный расчет таблицы истинности, аналитическое описание и локализация дефекта</w:t>
            </w:r>
          </w:p>
        </w:tc>
        <w:tc>
          <w:tcPr>
            <w:tcW w:w="1859" w:type="pct"/>
            <w:gridSpan w:val="2"/>
          </w:tcPr>
          <w:p>
            <w:r>
              <w:t>Длительность этапа: 40 мин (80 мин) / 30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Осуществляет индивидуальный контроль выполнения работы, консультирует обучающихся по процедурным вопросам без подсказки ответов. Проводит фронтальный разбор типичных ошибок и диагностического кейса (потеря инверсии на входе конъюнктора).</w:t>
            </w:r>
          </w:p>
        </w:tc>
        <w:tc>
          <w:tcPr>
            <w:tcW w:w="1864" w:type="pct"/>
            <w:gridSpan w:val="2"/>
          </w:tcPr>
          <w:p>
            <w:r>
              <w:t>Индивидуально выполняют расчет 8 строк таблицы истинности по промежуточным узлам. Формулируют письменное обоснование логики схемы. Проводят инженерную диагностику поврежденного макета: определяют неисправный узел, описывают фактическую функцию и способ ремонта.</w:t>
            </w:r>
          </w:p>
        </w:tc>
        <w:tc>
          <w:tcPr>
            <w:tcW w:w="1859" w:type="pct"/>
            <w:gridSpan w:val="2"/>
          </w:tcPr>
          <w:p>
            <w:r>
              <w:t>ПК 4.1, ПК 4.2, ОК 02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задание. Длительность: 20 мин (15 проверка + 5 итог) / 13 мин</w:t>
            </w:r>
          </w:p>
        </w:tc>
        <w:tc>
          <w:tcPr>
            <w:tcW w:w="1864" w:type="pct"/>
            <w:gridSpan w:val="2"/>
          </w:tcPr>
          <w:p w14:paraId="01DDFB1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Принимает отчетные документы в электронном виде (PDF). Выставляет баллы в соответствии с критериями (шкала 4 балла). Разъясняет вариативное домашнее задание по схеме контроля четности.</w:t>
            </w:r>
          </w:p>
        </w:tc>
        <w:tc>
          <w:tcPr>
            <w:tcW w:w="1864" w:type="pct"/>
            <w:gridSpan w:val="2"/>
          </w:tcPr>
          <w:p>
            <w:r>
              <w:t>Проверяют полноту внесенных данных, выполняют локальное сохранение и экспорт отчета в PDF. Сдают работу преподавателю. Фиксируют домашнее задание.</w:t>
            </w:r>
          </w:p>
        </w:tc>
        <w:tc>
          <w:tcPr>
            <w:tcW w:w="1859" w:type="pct"/>
            <w:gridSpan w:val="2"/>
          </w:tcPr>
          <w:p>
            <w:r>
              <w:t>ОК 01, ОК 04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