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 w14:paraId="276A4356" w14:textId="77777777" w:rsidR="00DA411C" w:rsidRPr="00312422" w:rsidRDefault="00DA411C" w:rsidP="00106703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 w14:paraId="6E781C0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>
            <w:r>
              <w:t>Тема 1.1. Классы вычислительных машин. История развития ЭВМ</w:t>
            </w: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специальность 09.02.07 Информационные системы и программирование, группа: ________________________ [уточняется преподавателем]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История развития ЭВМ, занятие №1 по теме «Классы вычислительных машин»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________________________ [указывается преподавателем]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Урок усвоения новых знаний с формированием первичных практических навыков (вид — урок/лекция с практической работой, 80 мин / сокращенно 60 мин)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Проблемное обучение, информационно-коммуникационные технологии, технология развивающего обучения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Сформировать у обучающихся знания об этапах развития вычислительных машин, принципах фон Неймана и причинах изменения аппаратного устройства при смене поколений элементной базы.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 w14:paraId="091AC0DE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обучающие</w:t>
            </w:r>
          </w:p>
        </w:tc>
        <w:tc>
          <w:tcPr>
            <w:tcW w:w="1246" w:type="pct"/>
            <w:gridSpan w:val="2"/>
          </w:tcPr>
          <w:p w14:paraId="6265C8FB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развивающие</w:t>
            </w:r>
          </w:p>
        </w:tc>
        <w:tc>
          <w:tcPr>
            <w:tcW w:w="1273" w:type="pct"/>
          </w:tcPr>
          <w:p w14:paraId="75DC3832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воспитательные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изучить 5 этапов эволюции вычислительной техники, принципы фон Неймана, особенности элементной базы каждого поколения и вклад отечественной школы академика С.А. Лебедева</w:t>
            </w:r>
          </w:p>
        </w:tc>
        <w:tc>
          <w:tcPr>
            <w:tcW w:w="1246" w:type="pct"/>
            <w:gridSpan w:val="2"/>
          </w:tcPr>
          <w:p>
            <w:r>
              <w:t>развить навыки сравнительного анализа физических ограничений элементной базы, логического мышления при установлении причин смены поколений, выявления контрпримеров</w:t>
            </w:r>
          </w:p>
        </w:tc>
        <w:tc>
          <w:tcPr>
            <w:tcW w:w="1273" w:type="pct"/>
          </w:tcPr>
          <w:p>
            <w:r>
              <w:t>воспитать интерес к истории отечественной и мировой вычислительной техники, ответственное отношение к инженерной терминологии и аккуратность оформления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Знания: построение цифровых вычислительных систем и их архитектурные особенности; принципы работы основных узлов и блоков. Умения: определять характеристики оборудования для задач; сравнивать поколения ЭВМ и объяснять причины смены элементной базы. Компетенции: ОК 01, ОК 02, ОК 05, ОК 09, ПК 4.1.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Персональные компьютеры обучающихся, мультимедийный проектор, интерактивная презентация, веб-браузер с интерактивным рабочим листом занятия.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>
            <w:r>
              <w:t>Цель: Активизация мыслительной деятельности, введение в проблемное поле аппаратной эволюции</w:t>
            </w:r>
          </w:p>
        </w:tc>
        <w:tc>
          <w:tcPr>
            <w:tcW w:w="1859" w:type="pct"/>
            <w:gridSpan w:val="2"/>
          </w:tcPr>
          <w:p>
            <w:r>
              <w:t>Длительность: 5 мин (80 мин) / 5 мин (60 мин)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>
            <w:r>
              <w:t>Приветствует студентов, отмечает явку. Формулирует проблемный вопрос о возможности создания механического суперкомпьютера. Направляет рассуждения на физические ограничения механики.</w:t>
            </w:r>
          </w:p>
        </w:tc>
        <w:tc>
          <w:tcPr>
            <w:tcW w:w="1864" w:type="pct"/>
            <w:gridSpan w:val="2"/>
          </w:tcPr>
          <w:p>
            <w:r>
              <w:t>Включаются в учебную деятельность, анализируют проблемную ситуацию, высказывают предположения об инерции деталей и задержках сигнала. Записывают тему занятия.</w:t>
            </w:r>
          </w:p>
        </w:tc>
        <w:tc>
          <w:tcPr>
            <w:tcW w:w="1859" w:type="pct"/>
            <w:gridSpan w:val="2"/>
          </w:tcPr>
          <w:p>
            <w:r>
              <w:t>ОК 01, ОК 02, ОК 05</w:t>
            </w: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>
            <w:r>
              <w:t>Цель: Усвоение понятийной основы 5 этапов развития ЭВМ, архитектуры фон Неймана и закона смены элементной базы</w:t>
            </w:r>
          </w:p>
        </w:tc>
        <w:tc>
          <w:tcPr>
            <w:tcW w:w="1859" w:type="pct"/>
            <w:gridSpan w:val="2"/>
          </w:tcPr>
          <w:p>
            <w:r>
              <w:t>Длительность: 25 мин (80 мин) / 18 мин (60 мин)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>
            <w:r>
              <w:t>Излагает материал: доэлектронные механизмы, Аналитическая машина Бэббиджа, электронные лампы и принципы фон Неймана, советские машины МЭСМ и БЭСМ-6, «тирания соединений», интегральные микросхемы, БИС/СБИС и микропроцессор Intel 4004. В 60-мин варианте подробный исторический обзор доэлектронных механических счетных устройств переносится на самостоятельное ознакомление, обеспечивая глубокое освоение электронных поколений.</w:t>
            </w:r>
          </w:p>
        </w:tc>
        <w:tc>
          <w:tcPr>
            <w:tcW w:w="1864" w:type="pct"/>
            <w:gridSpan w:val="2"/>
          </w:tcPr>
          <w:p>
            <w:r>
              <w:t>Слушают изложение преподавателя, ведут записи в конспектах, сопоставляют физические барьеры каждой эпохи со скоростью вычислений.</w:t>
            </w:r>
          </w:p>
        </w:tc>
        <w:tc>
          <w:tcPr>
            <w:tcW w:w="1859" w:type="pct"/>
            <w:gridSpan w:val="2"/>
          </w:tcPr>
          <w:p>
            <w:r>
              <w:t>ОК 01, ОК 02, ПК 4.1</w:t>
            </w: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>
            <w:r>
              <w:t>Цель: Закрепление понятий, наглядная демонстрация архитектурных узлов и выполнение индивидуального продукта</w:t>
            </w:r>
          </w:p>
        </w:tc>
        <w:tc>
          <w:tcPr>
            <w:tcW w:w="1859" w:type="pct"/>
            <w:gridSpan w:val="2"/>
          </w:tcPr>
          <w:p>
            <w:r>
              <w:t>Длительность: 35 мин (80 мин) / 25 мин (60 мин)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>
            <w:r>
              <w:t>Демонстрирует интерактивную презентацию (функциональная схема фон Неймана, первый баг 1947 г., микропроцессор). Организует самостоятельную работу в электронном рабочем листе по составлению индивидуальной хронологической схемы и обязательному разбору контрпримера. Консультирует обучающихся. В обоих сценариях (80 и 60 минут) каждый студент очно выполняет в полном объеме оцениваемую схему и контрпример.</w:t>
            </w:r>
          </w:p>
        </w:tc>
        <w:tc>
          <w:tcPr>
            <w:tcW w:w="1864" w:type="pct"/>
            <w:gridSpan w:val="2"/>
          </w:tcPr>
          <w:p>
            <w:r>
              <w:t>Анализируют демонстрируемые схемы. Индивидуально заполняют поля электронного бланка: описывают этапы, формулируют физические ограничения элементной базы и обязательно разбирают оцениваемый контрпример (различие ENIAC и архитектуры фон Неймана).</w:t>
            </w:r>
          </w:p>
        </w:tc>
        <w:tc>
          <w:tcPr>
            <w:tcW w:w="1859" w:type="pct"/>
            <w:gridSpan w:val="2"/>
          </w:tcPr>
          <w:p>
            <w:r>
              <w:t>ОК 01, ОК 02, ОК 09, ПК 4.1</w:t>
            </w: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>
            <w: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>
            <w:r>
              <w:t>Цель: Анализ результатов, рефлексия, разъяснение критериев и инструктаж по сдаче / резервному домашнему заданию</w:t>
            </w:r>
          </w:p>
        </w:tc>
        <w:tc>
          <w:tcPr>
            <w:tcW w:w="1859" w:type="pct"/>
            <w:gridSpan w:val="2"/>
          </w:tcPr>
          <w:p>
            <w:r>
              <w:t>Длительность: 15 мин (80 мин) / 12 мин (60 мин)</w:t>
            </w: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>
            <w:r>
              <w:t>Организует экспресс-проверку ключевых выводов и самооценку по критериям 4-балльной шкалы. Контролирует экспорт заполненного PDF-отчета. Разъясняет порядок сдачи и резервное домашнее задание (выполняется только при пропуске очной пары).</w:t>
            </w:r>
          </w:p>
        </w:tc>
        <w:tc>
          <w:tcPr>
            <w:tcW w:w="1864" w:type="pct"/>
            <w:gridSpan w:val="2"/>
          </w:tcPr>
          <w:p>
            <w:r>
              <w:t>Проводят самооценку работы по открытым критериям (4 балла), сохраняют итоговый документ в формате PDF, задают вопросы по закреплению материала.</w:t>
            </w:r>
          </w:p>
        </w:tc>
        <w:tc>
          <w:tcPr>
            <w:tcW w:w="1859" w:type="pct"/>
            <w:gridSpan w:val="2"/>
          </w:tcPr>
          <w:p>
            <w:r>
              <w:t>ОК 02, ОК 05</w:t>
            </w: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