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РОССИЙСКАЯ ФЕДЕРАЦИЯ</w:t>
      </w:r>
    </w:p>
    <w:p>
      <w:pPr>
        <w:jc w:val="center"/>
      </w:pPr>
      <w:r>
        <w:rPr>
          <w:b/>
          <w:sz w:val="22"/>
        </w:rPr>
        <w:t>ХАНТЫ-МАНСИЙСКИЙ АВТОНОМНЫЙ ОКРУГ — ЮГРА</w:t>
      </w:r>
    </w:p>
    <w:p>
      <w:pPr>
        <w:jc w:val="center"/>
      </w:pPr>
      <w:r>
        <w:rPr>
          <w:b/>
          <w:sz w:val="20"/>
        </w:rPr>
        <w:t>АВТОНОМНАЯ НЕКОММЕРЧЕСКАЯ ПРОФЕССИОНАЛЬНАЯ ОБРАЗОВАТЕЛЬНАЯ ОРГАНИЗАЦИЯ</w:t>
      </w:r>
    </w:p>
    <w:p>
      <w:pPr>
        <w:jc w:val="center"/>
      </w:pPr>
      <w:r>
        <w:rPr>
          <w:b/>
          <w:sz w:val="22"/>
        </w:rPr>
        <w:t>«СУРГУТСКИЙ ИНСТИТУТ ЭКОНОМИКИ, УПРАВЛЕНИЯ И ПРАВА»</w:t>
      </w:r>
    </w:p>
    <w:p/>
    <w:p>
      <w:pPr>
        <w:jc w:val="center"/>
      </w:pPr>
      <w:r>
        <w:rPr>
          <w:b/>
          <w:sz w:val="28"/>
        </w:rPr>
        <w:t>Методическая разработка учебного занятия</w:t>
      </w:r>
    </w:p>
    <w:p>
      <w:pPr>
        <w:jc w:val="center"/>
      </w:pPr>
      <w:r>
        <w:rPr>
          <w:b/>
          <w:sz w:val="28"/>
        </w:rPr>
        <w:t>(конспект)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  <w:shd w:fill="D9EAF7"/>
          </w:tcPr>
          <w:p>
            <w:pPr>
              <w:jc w:val="center"/>
            </w:pPr>
            <w:r>
              <w:rPr>
                <w:b/>
              </w:rPr>
              <w:t>по дисциплине / МДК</w:t>
            </w:r>
          </w:p>
        </w:tc>
      </w:tr>
      <w:tr>
        <w:tc>
          <w:tcPr>
            <w:tcW w:type="dxa" w:w="9972"/>
            <w:vAlign w:val="center"/>
          </w:tcPr>
          <w:p>
            <w:pPr>
              <w:jc w:val="center"/>
            </w:pPr>
            <w:r>
              <w:rPr>
                <w:b w:val="0"/>
              </w:rPr>
              <w:t>ОП.08 Основы проектирования баз данных</w:t>
            </w:r>
          </w:p>
        </w:tc>
      </w:tr>
      <w:tr>
        <w:tc>
          <w:tcPr>
            <w:tcW w:type="dxa" w:w="9972"/>
            <w:vAlign w:val="center"/>
            <w:shd w:fill="D9EAF7"/>
          </w:tcPr>
          <w:p>
            <w:pPr>
              <w:jc w:val="center"/>
            </w:pPr>
            <w:r>
              <w:rPr>
                <w:b/>
              </w:rPr>
              <w:t>наименование темы</w:t>
            </w:r>
          </w:p>
        </w:tc>
      </w:tr>
      <w:tr>
        <w:tc>
          <w:tcPr>
            <w:tcW w:type="dxa" w:w="9972"/>
            <w:vAlign w:val="center"/>
          </w:tcPr>
          <w:p>
            <w:pPr>
              <w:jc w:val="center"/>
            </w:pPr>
            <w:r>
              <w:rPr>
                <w:b w:val="0"/>
              </w:rPr>
              <w:t>Тема 5. Организация запросов SQL — Понятия SQL. Синтаксис операторов, типы данных</w:t>
            </w:r>
          </w:p>
        </w:tc>
      </w:tr>
    </w:tbl>
    <w:p/>
    <w:p>
      <w:r>
        <w:t>Разработал: ________________________________, преподаватель кафедры «________________»</w:t>
      </w:r>
    </w:p>
    <w:p>
      <w:r>
        <w:br w:type="page"/>
      </w:r>
    </w:p>
    <w:p>
      <w:pPr>
        <w:pStyle w:val="Heading1"/>
      </w:pPr>
      <w:r>
        <w:t>Тема занятия и организационные сведения</w:t>
      </w:r>
    </w:p>
    <w:p>
      <w:r>
        <w:t>Дисциплина: ОП.08 Основы проектирования баз данных</w:t>
      </w:r>
    </w:p>
    <w:p>
      <w:r>
        <w:t>Занятие №29; раздел программы §2.2, с. 7–8</w:t>
      </w:r>
    </w:p>
    <w:p>
      <w:r>
        <w:t>Официальная тема: Тема 5. Организация запросов SQL — Понятия SQL. Синтаксис операторов, типы данных</w:t>
      </w:r>
    </w:p>
    <w:p>
      <w:r>
        <w:t>Продолжительность: 2 академических часа; основной регламент 80 минут, сокращённый 60 минут</w:t>
      </w:r>
    </w:p>
    <w:p>
      <w:r>
        <w:t>Форма организации: урок с объяснением теории</w:t>
      </w:r>
    </w:p>
    <w:p>
      <w:r>
        <w:t>ФИО преподавателя: __________________________________________</w:t>
      </w:r>
    </w:p>
    <w:p>
      <w:r>
        <w:t>Группа: __________________</w:t>
      </w:r>
    </w:p>
    <w:p>
      <w:pPr>
        <w:pStyle w:val="Heading1"/>
      </w:pPr>
      <w:r>
        <w:t>Цель и задачи</w:t>
      </w:r>
    </w:p>
    <w:p>
      <w:r>
        <w:t>Цель: сформировать понимание языка SQL, структуры операторов и принципов выбора типов данных; научить проверять явные и учитывать риски неявных преобразований.</w:t>
      </w:r>
    </w:p>
    <w:p>
      <w:r>
        <w:t>Обучающие: рассмотреть эволюцию SQL и редакции SQL-92, SQL:1999, SQL:2016; различить DDL, DML, DQL, DCL, TCL; освоить чтение типовых конструкций и подбор скалярных типов; применять CAST и распознавать диалектные формы.</w:t>
      </w:r>
    </w:p>
    <w:p>
      <w:r>
        <w:t>Развивающие: развивать логическое мышление, точность технической речи, навыки анализа SQL-примеров и аргументации проектных решений.</w:t>
      </w:r>
    </w:p>
    <w:p>
      <w:r>
        <w:t>Воспитательные: формировать ответственность за точность, целостность и интерпретируемость сохраняемых данных; культуру профессионального взаимодействия.</w:t>
      </w:r>
    </w:p>
    <w:p>
      <w:pPr>
        <w:pStyle w:val="Heading1"/>
      </w:pPr>
      <w:r>
        <w:t>Краткое содержание</w:t>
      </w:r>
    </w:p>
    <w:p>
      <w:r>
        <w:t>SQL — декларативный язык. Стандарт и реализация СУБД различаются. Подъязыки DDL/DML/DQL/DCL/TCL — учебная классификация; DQL не всегда считается отдельной нормативной группой. Синтаксис включает ключевые слова, идентификаторы, литералы, выражения и клаузулы. Типы: SMALLINT/INT/BIGINT; NUMERIC/DECIMAL; REAL/DOUBLE PRECISION; CHAR/VARCHAR/TEXT; DATE/TIME/TIMESTAMP WITH TIME ZONE/INTERVAL; BOOLEAN; бинарные, UUID, JSONB, ARRAY. JSONB, ::, ARRAY и функции UUID в примерах отмечаются как PostgreSQL-специфика.</w:t>
      </w:r>
    </w:p>
    <w:p>
      <w:pPr>
        <w:pStyle w:val="Heading1"/>
      </w:pPr>
      <w:r>
        <w:t>План и прямая речь преподавателя — 80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D9EAF7"/>
          </w:tcPr>
          <w:p>
            <w:r>
              <w:t>Время</w:t>
            </w:r>
          </w:p>
        </w:tc>
        <w:tc>
          <w:tcPr>
            <w:tcW w:type="dxa" w:w="2493"/>
            <w:shd w:fill="D9EAF7"/>
          </w:tcPr>
          <w:p>
            <w:r>
              <w:t>Этап</w:t>
            </w:r>
          </w:p>
        </w:tc>
        <w:tc>
          <w:tcPr>
            <w:tcW w:type="dxa" w:w="2493"/>
            <w:shd w:fill="D9EAF7"/>
          </w:tcPr>
          <w:p>
            <w:r>
              <w:t>Слова/действия преподавателя</w:t>
            </w:r>
          </w:p>
        </w:tc>
        <w:tc>
          <w:tcPr>
            <w:tcW w:type="dxa" w:w="2493"/>
            <w:shd w:fill="D9EAF7"/>
          </w:tcPr>
          <w:p>
            <w:r>
              <w:t>Деятельность студентов</w:t>
            </w:r>
          </w:p>
        </w:tc>
      </w:tr>
      <w:tr>
        <w:tc>
          <w:tcPr>
            <w:tcW w:type="dxa" w:w="2493"/>
          </w:tcPr>
          <w:p>
            <w:r>
              <w:t>0–4 (4)</w:t>
            </w:r>
          </w:p>
        </w:tc>
        <w:tc>
          <w:tcPr>
            <w:tcW w:type="dxa" w:w="2493"/>
          </w:tcPr>
          <w:p>
            <w:r>
              <w:t>Организация</w:t>
            </w:r>
          </w:p>
        </w:tc>
        <w:tc>
          <w:tcPr>
            <w:tcW w:type="dxa" w:w="2493"/>
          </w:tcPr>
          <w:p>
            <w:r>
              <w:t>«Здравствуйте. Подготовьте материалы; сегодня связываем SQL, грамматику операторов и смысл типов данных».</w:t>
            </w:r>
          </w:p>
        </w:tc>
        <w:tc>
          <w:tcPr>
            <w:tcW w:type="dxa" w:w="2493"/>
          </w:tcPr>
          <w:p>
            <w:r>
              <w:t>Готовят материалы. Проверка готовности.</w:t>
            </w:r>
          </w:p>
        </w:tc>
      </w:tr>
      <w:tr>
        <w:tc>
          <w:tcPr>
            <w:tcW w:type="dxa" w:w="2493"/>
          </w:tcPr>
          <w:p>
            <w:r>
              <w:t>4–10 (6)</w:t>
            </w:r>
          </w:p>
        </w:tc>
        <w:tc>
          <w:tcPr>
            <w:tcW w:type="dxa" w:w="2493"/>
          </w:tcPr>
          <w:p>
            <w:r>
              <w:t>Мотивация</w:t>
            </w:r>
          </w:p>
        </w:tc>
        <w:tc>
          <w:tcPr>
            <w:tcW w:type="dxa" w:w="2493"/>
          </w:tcPr>
          <w:p>
            <w:r>
              <w:t>«Для денежных расчётов достаточно ли приблизительного числа? Почему важны свойства типа столбца?»</w:t>
            </w:r>
          </w:p>
        </w:tc>
        <w:tc>
          <w:tcPr>
            <w:tcW w:type="dxa" w:w="2493"/>
          </w:tcPr>
          <w:p>
            <w:r>
              <w:t>Высказывают гипотезы; актуализируют понятия поля/запроса.</w:t>
            </w:r>
          </w:p>
        </w:tc>
      </w:tr>
      <w:tr>
        <w:tc>
          <w:tcPr>
            <w:tcW w:type="dxa" w:w="2493"/>
          </w:tcPr>
          <w:p>
            <w:r>
              <w:t>10–18 (8)</w:t>
            </w:r>
          </w:p>
        </w:tc>
        <w:tc>
          <w:tcPr>
            <w:tcW w:type="dxa" w:w="2493"/>
          </w:tcPr>
          <w:p>
            <w:r>
              <w:t>Стандарты</w:t>
            </w:r>
          </w:p>
        </w:tc>
        <w:tc>
          <w:tcPr>
            <w:tcW w:type="dxa" w:w="2493"/>
          </w:tcPr>
          <w:p>
            <w:r>
              <w:t>«SQL-92 закрепил развитое ядро; SQL:1999 расширил язык; SQL:2016 стандартизовал дополнительные возможности. Стандарт не гарантирует одинаковую реализацию».</w:t>
            </w:r>
          </w:p>
        </w:tc>
        <w:tc>
          <w:tcPr>
            <w:tcW w:type="dxa" w:w="2493"/>
          </w:tcPr>
          <w:p>
            <w:r>
              <w:t>Конспектируют хронологию; отвечают о роли диалекта.</w:t>
            </w:r>
          </w:p>
        </w:tc>
      </w:tr>
      <w:tr>
        <w:tc>
          <w:tcPr>
            <w:tcW w:type="dxa" w:w="2493"/>
          </w:tcPr>
          <w:p>
            <w:r>
              <w:t>18–27 (9)</w:t>
            </w:r>
          </w:p>
        </w:tc>
        <w:tc>
          <w:tcPr>
            <w:tcW w:type="dxa" w:w="2493"/>
          </w:tcPr>
          <w:p>
            <w:r>
              <w:t>Подъязыки</w:t>
            </w:r>
          </w:p>
        </w:tc>
        <w:tc>
          <w:tcPr>
            <w:tcW w:type="dxa" w:w="2493"/>
          </w:tcPr>
          <w:p>
            <w:r>
              <w:t>«CREATE — DDL; INSERT/UPDATE/DELETE — DML; SELECT обычно относят к DQL, хотя классификации различаются; GRANT — DCL; COMMIT — TCL».</w:t>
            </w:r>
          </w:p>
        </w:tc>
        <w:tc>
          <w:tcPr>
            <w:tcW w:type="dxa" w:w="2493"/>
          </w:tcPr>
          <w:p>
            <w:r>
              <w:t>Классифицируют команды.</w:t>
            </w:r>
          </w:p>
        </w:tc>
      </w:tr>
      <w:tr>
        <w:tc>
          <w:tcPr>
            <w:tcW w:type="dxa" w:w="2493"/>
          </w:tcPr>
          <w:p>
            <w:r>
              <w:t>27–37 (10)</w:t>
            </w:r>
          </w:p>
        </w:tc>
        <w:tc>
          <w:tcPr>
            <w:tcW w:type="dxa" w:w="2493"/>
          </w:tcPr>
          <w:p>
            <w:r>
              <w:t>Грамматика</w:t>
            </w:r>
          </w:p>
        </w:tc>
        <w:tc>
          <w:tcPr>
            <w:tcW w:type="dxa" w:w="2493"/>
          </w:tcPr>
          <w:p>
            <w:r>
              <w:t>«SELECT задаёт поля, FROM — источник, WHERE — фильтр, GROUP BY — группировку, HAVING — фильтр групп, ORDER BY — сортировку».</w:t>
            </w:r>
          </w:p>
        </w:tc>
        <w:tc>
          <w:tcPr>
            <w:tcW w:type="dxa" w:w="2493"/>
          </w:tcPr>
          <w:p>
            <w:r>
              <w:t>Размечают SELECT, называют порядок клауз.</w:t>
            </w:r>
          </w:p>
        </w:tc>
      </w:tr>
      <w:tr>
        <w:tc>
          <w:tcPr>
            <w:tcW w:type="dxa" w:w="2493"/>
          </w:tcPr>
          <w:p>
            <w:r>
              <w:t>37–41 (4)</w:t>
            </w:r>
          </w:p>
        </w:tc>
        <w:tc>
          <w:tcPr>
            <w:tcW w:type="dxa" w:w="2493"/>
          </w:tcPr>
          <w:p>
            <w:r>
              <w:t>Пауза</w:t>
            </w:r>
          </w:p>
        </w:tc>
        <w:tc>
          <w:tcPr>
            <w:tcW w:type="dxa" w:w="2493"/>
          </w:tcPr>
          <w:p>
            <w:r>
              <w:t>«Обсудите с соседом, почему 0,1 + 0,2 не лучший денежный пример для FLOAT».</w:t>
            </w:r>
          </w:p>
        </w:tc>
        <w:tc>
          <w:tcPr>
            <w:tcW w:type="dxa" w:w="2493"/>
          </w:tcPr>
          <w:p>
            <w:r>
              <w:t>Обсуждают и формулируют причину.</w:t>
            </w:r>
          </w:p>
        </w:tc>
      </w:tr>
      <w:tr>
        <w:tc>
          <w:tcPr>
            <w:tcW w:type="dxa" w:w="2493"/>
          </w:tcPr>
          <w:p>
            <w:r>
              <w:t>41–56 (15)</w:t>
            </w:r>
          </w:p>
        </w:tc>
        <w:tc>
          <w:tcPr>
            <w:tcW w:type="dxa" w:w="2493"/>
          </w:tcPr>
          <w:p>
            <w:r>
              <w:t>Числа, строки, время</w:t>
            </w:r>
          </w:p>
        </w:tc>
        <w:tc>
          <w:tcPr>
            <w:tcW w:type="dxa" w:w="2493"/>
          </w:tcPr>
          <w:p>
            <w:r>
              <w:t>«NUMERIC/DECIMAL точны для десятичных сумм; REAL/DOUBLE — приближённые. CHAR/VARCHAR/TEXT, DATE/TIME/TIMESTAMP/INTERVAL выбираем по смыслу».</w:t>
            </w:r>
          </w:p>
        </w:tc>
        <w:tc>
          <w:tcPr>
            <w:tcW w:type="dxa" w:w="2493"/>
          </w:tcPr>
          <w:p>
            <w:r>
              <w:t>Заполняют матрицу предметных значений и типов.</w:t>
            </w:r>
          </w:p>
        </w:tc>
      </w:tr>
      <w:tr>
        <w:tc>
          <w:tcPr>
            <w:tcW w:type="dxa" w:w="2493"/>
          </w:tcPr>
          <w:p>
            <w:r>
              <w:t>56–65 (9)</w:t>
            </w:r>
          </w:p>
        </w:tc>
        <w:tc>
          <w:tcPr>
            <w:tcW w:type="dxa" w:w="2493"/>
          </w:tcPr>
          <w:p>
            <w:r>
              <w:t>Специальные типы</w:t>
            </w:r>
          </w:p>
        </w:tc>
        <w:tc>
          <w:tcPr>
            <w:tcW w:type="dxa" w:w="2493"/>
          </w:tcPr>
          <w:p>
            <w:r>
              <w:t>«BOOLEAN в логике SQL имеет UNKNOWN при NULL. UUID, JSONB, ARRAY и бинарные типы различаются по поддержке; эти примеры надо привязать к СУБД».</w:t>
            </w:r>
          </w:p>
        </w:tc>
        <w:tc>
          <w:tcPr>
            <w:tcW w:type="dxa" w:w="2493"/>
          </w:tcPr>
          <w:p>
            <w:r>
              <w:t>Отмечают PostgreSQL-специфику.</w:t>
            </w:r>
          </w:p>
        </w:tc>
      </w:tr>
      <w:tr>
        <w:tc>
          <w:tcPr>
            <w:tcW w:type="dxa" w:w="2493"/>
          </w:tcPr>
          <w:p>
            <w:r>
              <w:t>65–73 (8)</w:t>
            </w:r>
          </w:p>
        </w:tc>
        <w:tc>
          <w:tcPr>
            <w:tcW w:type="dxa" w:w="2493"/>
          </w:tcPr>
          <w:p>
            <w:r>
              <w:t>Приведение типов</w:t>
            </w:r>
          </w:p>
        </w:tc>
        <w:tc>
          <w:tcPr>
            <w:tcW w:type="dxa" w:w="2493"/>
          </w:tcPr>
          <w:p>
            <w:r>
              <w:t>«CAST(expr AS type) — явная стандартная форма; expr::type — PostgreSQL. Проверяйте невалидные данные, переполнение, округление и часовые зоны».</w:t>
            </w:r>
          </w:p>
        </w:tc>
        <w:tc>
          <w:tcPr>
            <w:tcW w:type="dxa" w:w="2493"/>
          </w:tcPr>
          <w:p>
            <w:r>
              <w:t>Исправляют примеры и объясняют риски.</w:t>
            </w:r>
          </w:p>
        </w:tc>
      </w:tr>
      <w:tr>
        <w:tc>
          <w:tcPr>
            <w:tcW w:type="dxa" w:w="2493"/>
          </w:tcPr>
          <w:p>
            <w:r>
              <w:t>73–78 (5)</w:t>
            </w:r>
          </w:p>
        </w:tc>
        <w:tc>
          <w:tcPr>
            <w:tcW w:type="dxa" w:w="2493"/>
          </w:tcPr>
          <w:p>
            <w:r>
              <w:t>Закрепление</w:t>
            </w:r>
          </w:p>
        </w:tc>
        <w:tc>
          <w:tcPr>
            <w:tcW w:type="dxa" w:w="2493"/>
          </w:tcPr>
          <w:p>
            <w:r>
              <w:t>«Назовите тип для цены, класс CREATE TABLE и форму преобразования строки в INTEGER».</w:t>
            </w:r>
          </w:p>
        </w:tc>
        <w:tc>
          <w:tcPr>
            <w:tcW w:type="dxa" w:w="2493"/>
          </w:tcPr>
          <w:p>
            <w:r>
              <w:t>Отвечают по выходному билету.</w:t>
            </w:r>
          </w:p>
        </w:tc>
      </w:tr>
      <w:tr>
        <w:tc>
          <w:tcPr>
            <w:tcW w:type="dxa" w:w="2493"/>
          </w:tcPr>
          <w:p>
            <w:r>
              <w:t>78–80 (2)</w:t>
            </w:r>
          </w:p>
        </w:tc>
        <w:tc>
          <w:tcPr>
            <w:tcW w:type="dxa" w:w="2493"/>
          </w:tcPr>
          <w:p>
            <w:r>
              <w:t>Итог</w:t>
            </w:r>
          </w:p>
        </w:tc>
        <w:tc>
          <w:tcPr>
            <w:tcW w:type="dxa" w:w="2493"/>
          </w:tcPr>
          <w:p>
            <w:r>
              <w:t>«Сначала определите смысл и точность значения, затем тип. Резервное задание выполняйте только по моему назначению».</w:t>
            </w:r>
          </w:p>
        </w:tc>
        <w:tc>
          <w:tcPr>
            <w:tcW w:type="dxa" w:w="2493"/>
          </w:tcPr>
          <w:p>
            <w:r>
              <w:t>Фиксируют вывод и поручение.</w:t>
            </w:r>
          </w:p>
        </w:tc>
      </w:tr>
    </w:tbl>
    <w:p>
      <w:r>
        <w:t>Сумма регламента: 80 минут.</w:t>
      </w:r>
    </w:p>
    <w:p>
      <w:pPr>
        <w:pStyle w:val="Heading1"/>
      </w:pPr>
      <w:r>
        <w:t>Сокращённый сценарий — 60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D9EAF7"/>
          </w:tcPr>
          <w:p>
            <w:r>
              <w:t>Время</w:t>
            </w:r>
          </w:p>
        </w:tc>
        <w:tc>
          <w:tcPr>
            <w:tcW w:type="dxa" w:w="2493"/>
            <w:shd w:fill="D9EAF7"/>
          </w:tcPr>
          <w:p>
            <w:r>
              <w:t>Этап</w:t>
            </w:r>
          </w:p>
        </w:tc>
        <w:tc>
          <w:tcPr>
            <w:tcW w:type="dxa" w:w="2493"/>
            <w:shd w:fill="D9EAF7"/>
          </w:tcPr>
          <w:p>
            <w:r>
              <w:t>Речь и действия преподавателя</w:t>
            </w:r>
          </w:p>
        </w:tc>
        <w:tc>
          <w:tcPr>
            <w:tcW w:type="dxa" w:w="2493"/>
            <w:shd w:fill="D9EAF7"/>
          </w:tcPr>
          <w:p>
            <w:r>
              <w:t>Действия студентов</w:t>
            </w:r>
          </w:p>
        </w:tc>
      </w:tr>
      <w:tr>
        <w:tc>
          <w:tcPr>
            <w:tcW w:type="dxa" w:w="2493"/>
          </w:tcPr>
          <w:p>
            <w:r>
              <w:t>0–3 (3)</w:t>
            </w:r>
          </w:p>
        </w:tc>
        <w:tc>
          <w:tcPr>
            <w:tcW w:type="dxa" w:w="2493"/>
          </w:tcPr>
          <w:p>
            <w:r>
              <w:t>Организация</w:t>
            </w:r>
          </w:p>
        </w:tc>
        <w:tc>
          <w:tcPr>
            <w:tcW w:type="dxa" w:w="2493"/>
          </w:tcPr>
          <w:p>
            <w:r>
              <w:t>«Откройте материалы; цель — освоить SQL, типы и преобразования».</w:t>
            </w:r>
          </w:p>
        </w:tc>
        <w:tc>
          <w:tcPr>
            <w:tcW w:type="dxa" w:w="2493"/>
          </w:tcPr>
          <w:p>
            <w:r>
              <w:t>Готовятся.</w:t>
            </w:r>
          </w:p>
        </w:tc>
      </w:tr>
      <w:tr>
        <w:tc>
          <w:tcPr>
            <w:tcW w:type="dxa" w:w="2493"/>
          </w:tcPr>
          <w:p>
            <w:r>
              <w:t>3–7 (4)</w:t>
            </w:r>
          </w:p>
        </w:tc>
        <w:tc>
          <w:tcPr>
            <w:tcW w:type="dxa" w:w="2493"/>
          </w:tcPr>
          <w:p>
            <w:r>
              <w:t>Мотивация</w:t>
            </w:r>
          </w:p>
        </w:tc>
        <w:tc>
          <w:tcPr>
            <w:tcW w:type="dxa" w:w="2493"/>
          </w:tcPr>
          <w:p>
            <w:r>
              <w:t>«Подходит ли FLOAT для денежного значения?»</w:t>
            </w:r>
          </w:p>
        </w:tc>
        <w:tc>
          <w:tcPr>
            <w:tcW w:type="dxa" w:w="2493"/>
          </w:tcPr>
          <w:p>
            <w:r>
              <w:t>Формулируют гипотезу.</w:t>
            </w:r>
          </w:p>
        </w:tc>
      </w:tr>
      <w:tr>
        <w:tc>
          <w:tcPr>
            <w:tcW w:type="dxa" w:w="2493"/>
          </w:tcPr>
          <w:p>
            <w:r>
              <w:t>7–13 (6)</w:t>
            </w:r>
          </w:p>
        </w:tc>
        <w:tc>
          <w:tcPr>
            <w:tcW w:type="dxa" w:w="2493"/>
          </w:tcPr>
          <w:p>
            <w:r>
              <w:t>История SQL</w:t>
            </w:r>
          </w:p>
        </w:tc>
        <w:tc>
          <w:tcPr>
            <w:tcW w:type="dxa" w:w="2493"/>
          </w:tcPr>
          <w:p>
            <w:r>
              <w:t>Кратко раскрывает SQL-92, SQL:1999, SQL:2016; стандарт и диалект.</w:t>
            </w:r>
          </w:p>
        </w:tc>
        <w:tc>
          <w:tcPr>
            <w:tcW w:type="dxa" w:w="2493"/>
          </w:tcPr>
          <w:p>
            <w:r>
              <w:t>Записывают ключевые отличия.</w:t>
            </w:r>
          </w:p>
        </w:tc>
      </w:tr>
      <w:tr>
        <w:tc>
          <w:tcPr>
            <w:tcW w:type="dxa" w:w="2493"/>
          </w:tcPr>
          <w:p>
            <w:r>
              <w:t>13–19 (6)</w:t>
            </w:r>
          </w:p>
        </w:tc>
        <w:tc>
          <w:tcPr>
            <w:tcW w:type="dxa" w:w="2493"/>
          </w:tcPr>
          <w:p>
            <w:r>
              <w:t>Группы и грамматика</w:t>
            </w:r>
          </w:p>
        </w:tc>
        <w:tc>
          <w:tcPr>
            <w:tcW w:type="dxa" w:w="2493"/>
          </w:tcPr>
          <w:p>
            <w:r>
              <w:t>Повторяет DDL/DML/DQL/DCL/TCL и форму SELECT.</w:t>
            </w:r>
          </w:p>
        </w:tc>
        <w:tc>
          <w:tcPr>
            <w:tcW w:type="dxa" w:w="2493"/>
          </w:tcPr>
          <w:p>
            <w:r>
              <w:t>Классифицируют команды.</w:t>
            </w:r>
          </w:p>
        </w:tc>
      </w:tr>
      <w:tr>
        <w:tc>
          <w:tcPr>
            <w:tcW w:type="dxa" w:w="2493"/>
          </w:tcPr>
          <w:p>
            <w:r>
              <w:t>19–32 (13)</w:t>
            </w:r>
          </w:p>
        </w:tc>
        <w:tc>
          <w:tcPr>
            <w:tcW w:type="dxa" w:w="2493"/>
          </w:tcPr>
          <w:p>
            <w:r>
              <w:t>Основные типы</w:t>
            </w:r>
          </w:p>
        </w:tc>
        <w:tc>
          <w:tcPr>
            <w:tcW w:type="dxa" w:w="2493"/>
          </w:tcPr>
          <w:p>
            <w:r>
              <w:t>Фокус на точности чисел, строках и дате/времени.</w:t>
            </w:r>
          </w:p>
        </w:tc>
        <w:tc>
          <w:tcPr>
            <w:tcW w:type="dxa" w:w="2493"/>
          </w:tcPr>
          <w:p>
            <w:r>
              <w:t>Решают 3 задачи подбора.</w:t>
            </w:r>
          </w:p>
        </w:tc>
      </w:tr>
      <w:tr>
        <w:tc>
          <w:tcPr>
            <w:tcW w:type="dxa" w:w="2493"/>
          </w:tcPr>
          <w:p>
            <w:r>
              <w:t>32–34 (2)</w:t>
            </w:r>
          </w:p>
        </w:tc>
        <w:tc>
          <w:tcPr>
            <w:tcW w:type="dxa" w:w="2493"/>
          </w:tcPr>
          <w:p>
            <w:r>
              <w:t>Пауза</w:t>
            </w:r>
          </w:p>
        </w:tc>
        <w:tc>
          <w:tcPr>
            <w:tcW w:type="dxa" w:w="2493"/>
          </w:tcPr>
          <w:p>
            <w:r>
              <w:t>Короткая смена активности.</w:t>
            </w:r>
          </w:p>
        </w:tc>
        <w:tc>
          <w:tcPr>
            <w:tcW w:type="dxa" w:w="2493"/>
          </w:tcPr>
          <w:p>
            <w:r>
              <w:t>Обсуждают INTERVAL.</w:t>
            </w:r>
          </w:p>
        </w:tc>
      </w:tr>
      <w:tr>
        <w:tc>
          <w:tcPr>
            <w:tcW w:type="dxa" w:w="2493"/>
          </w:tcPr>
          <w:p>
            <w:r>
              <w:t>34–43 (9)</w:t>
            </w:r>
          </w:p>
        </w:tc>
        <w:tc>
          <w:tcPr>
            <w:tcW w:type="dxa" w:w="2493"/>
          </w:tcPr>
          <w:p>
            <w:r>
              <w:t>Специализированные типы</w:t>
            </w:r>
          </w:p>
        </w:tc>
        <w:tc>
          <w:tcPr>
            <w:tcW w:type="dxa" w:w="2493"/>
          </w:tcPr>
          <w:p>
            <w:r>
              <w:t>Объясняет BOOLEAN, бинарные, UUID, JSONB, ARRAY; явно маркирует PostgreSQL.</w:t>
            </w:r>
          </w:p>
        </w:tc>
        <w:tc>
          <w:tcPr>
            <w:tcW w:type="dxa" w:w="2493"/>
          </w:tcPr>
          <w:p>
            <w:r>
              <w:t>Указывают область применимости.</w:t>
            </w:r>
          </w:p>
        </w:tc>
      </w:tr>
      <w:tr>
        <w:tc>
          <w:tcPr>
            <w:tcW w:type="dxa" w:w="2493"/>
          </w:tcPr>
          <w:p>
            <w:r>
              <w:t>43–51 (8)</w:t>
            </w:r>
          </w:p>
        </w:tc>
        <w:tc>
          <w:tcPr>
            <w:tcW w:type="dxa" w:w="2493"/>
          </w:tcPr>
          <w:p>
            <w:r>
              <w:t>Приведение</w:t>
            </w:r>
          </w:p>
        </w:tc>
        <w:tc>
          <w:tcPr>
            <w:tcW w:type="dxa" w:w="2493"/>
          </w:tcPr>
          <w:p>
            <w:r>
              <w:t>Показывает CAST/::, ошибки некорректного ввода и переполнения.</w:t>
            </w:r>
          </w:p>
        </w:tc>
        <w:tc>
          <w:tcPr>
            <w:tcW w:type="dxa" w:w="2493"/>
          </w:tcPr>
          <w:p>
            <w:r>
              <w:t>Разбирают фрагменты.</w:t>
            </w:r>
          </w:p>
        </w:tc>
      </w:tr>
      <w:tr>
        <w:tc>
          <w:tcPr>
            <w:tcW w:type="dxa" w:w="2493"/>
          </w:tcPr>
          <w:p>
            <w:r>
              <w:t>51–57 (6)</w:t>
            </w:r>
          </w:p>
        </w:tc>
        <w:tc>
          <w:tcPr>
            <w:tcW w:type="dxa" w:w="2493"/>
          </w:tcPr>
          <w:p>
            <w:r>
              <w:t>Закрепление</w:t>
            </w:r>
          </w:p>
        </w:tc>
        <w:tc>
          <w:tcPr>
            <w:tcW w:type="dxa" w:w="2493"/>
          </w:tcPr>
          <w:p>
            <w:r>
              <w:t>Проводит парный разбор выбора типа и CAST.</w:t>
            </w:r>
          </w:p>
        </w:tc>
        <w:tc>
          <w:tcPr>
            <w:tcW w:type="dxa" w:w="2493"/>
          </w:tcPr>
          <w:p>
            <w:r>
              <w:t>Обосновывают ответ.</w:t>
            </w:r>
          </w:p>
        </w:tc>
      </w:tr>
      <w:tr>
        <w:tc>
          <w:tcPr>
            <w:tcW w:type="dxa" w:w="2493"/>
          </w:tcPr>
          <w:p>
            <w:r>
              <w:t>57–60 (3)</w:t>
            </w:r>
          </w:p>
        </w:tc>
        <w:tc>
          <w:tcPr>
            <w:tcW w:type="dxa" w:w="2493"/>
          </w:tcPr>
          <w:p>
            <w:r>
              <w:t>Итог</w:t>
            </w:r>
          </w:p>
        </w:tc>
        <w:tc>
          <w:tcPr>
            <w:tcW w:type="dxa" w:w="2493"/>
          </w:tcPr>
          <w:p>
            <w:r>
              <w:t>Выходной билет, резервное ДЗ только по назначению.</w:t>
            </w:r>
          </w:p>
        </w:tc>
        <w:tc>
          <w:tcPr>
            <w:tcW w:type="dxa" w:w="2493"/>
          </w:tcPr>
          <w:p>
            <w:r>
              <w:t>Формулируют вывод.</w:t>
            </w:r>
          </w:p>
        </w:tc>
      </w:tr>
    </w:tbl>
    <w:p>
      <w:r>
        <w:t>Сумма сокращённого регламента: 60 минут.</w:t>
      </w:r>
    </w:p>
    <w:p>
      <w:pPr>
        <w:pStyle w:val="Heading1"/>
      </w:pPr>
      <w:r>
        <w:t>Формирующее оценивание и ключ</w:t>
      </w:r>
    </w:p>
    <w:p>
      <w:pPr>
        <w:pStyle w:val="ListBullet"/>
      </w:pPr>
      <w:r>
        <w:t>Цена с точностью до копейки — NUMERIC/DECIMAL подходящей precision и scale.</w:t>
      </w:r>
    </w:p>
    <w:p>
      <w:pPr>
        <w:pStyle w:val="ListBullet"/>
      </w:pPr>
      <w:r>
        <w:t>CREATE TABLE — DDL; GRANT — DCL; COMMIT — TCL; SELECT обычно DQL, но возможна широкая трактовка DML.</w:t>
      </w:r>
    </w:p>
    <w:p>
      <w:pPr>
        <w:pStyle w:val="ListBullet"/>
      </w:pPr>
      <w:r>
        <w:t>Стандартная форма приведения: CAST('42' AS INTEGER); :: — PostgreSQL.</w:t>
      </w:r>
    </w:p>
    <w:p>
      <w:pPr>
        <w:pStyle w:val="ListBullet"/>
      </w:pPr>
      <w:r>
        <w:t>Неоднозначные даты, некорректная строка, переполнение и уменьшение масштаба требуют проверки.</w:t>
      </w:r>
    </w:p>
    <w:p>
      <w:pPr>
        <w:pStyle w:val="ListBullet"/>
      </w:pPr>
      <w:r>
        <w:t>Резервное домашнее задание выполняется только при прямом назначении преподавателем.</w:t>
      </w:r>
    </w:p>
    <w:p>
      <w:pPr>
        <w:pStyle w:val="Heading1"/>
      </w:pPr>
      <w:r>
        <w:t>Приложения и материалы</w:t>
      </w:r>
    </w:p>
    <w:p>
      <w:r>
        <w:t>Локальный комплект занятия: metodicheskiy_material.html, lekciya.html, prezentaciya.html, tehnologicheskaya_karta.html, konspekt.html, domashnee_zadanie.html, zanyatie.html. Рубрика преподавателя .rubrika.md. Внешняя сеть для открытия комплекта не требуется.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