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 w:ascii="Times New Roman" w:hAnsi="Times New Roman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 w:ascii="Times New Roman" w:hAnsi="Times New Roman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 w:ascii="Times New Roman" w:hAnsi="Times New Roman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 w:ascii="Times New Roman" w:hAnsi="Times New Roman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 w:ascii="Times New Roman" w:hAnsi="Times New Roman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 w:ascii="Times New Roman" w:hAnsi="Times New Roman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 w:ascii="Times New Roman" w:hAnsi="Times New Roman"/>
          <w:b/>
          <w:sz w:val="28"/>
          <w:szCs w:val="28"/>
          <w:lang w:eastAsia="en-US"/>
        </w:rPr>
        <w:t>тия (</w:t>
      </w:r>
      <w:r>
        <w:rPr>
          <w:rFonts w:eastAsia="Calibri" w:ascii="Times New Roman" w:hAnsi="Times New Roman"/>
          <w:b/>
          <w:sz w:val="28"/>
          <w:szCs w:val="28"/>
          <w:lang w:eastAsia="en-US"/>
        </w:rPr>
        <w:t>конспект</w:t>
      </w:r>
      <w:r w:rsidRPr="004341C6">
        <w:rPr>
          <w:rFonts w:eastAsia="Calibri" w:ascii="Times New Roman" w:hAnsi="Times New Roman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 w:ascii="Times New Roman" w:hAnsi="Times New Roman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 w:ascii="Times New Roman" w:hAnsi="Times New Roman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rPr>
                <w:rFonts w:ascii="Times New Roman" w:hAnsi="Times New Roman"/>
              </w:rP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 w:ascii="Times New Roman" w:hAnsi="Times New Roman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rPr>
                <w:rFonts w:ascii="Times New Roman" w:hAnsi="Times New Roman"/>
              </w:rPr>
              <w:t>Тема 4. Проектирование структур баз данных — Средства проектирования структур БД: объекты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 w:ascii="Times New Roman" w:hAnsi="Times New Roman"/>
          <w:b/>
          <w:lang w:eastAsia="en-US"/>
        </w:rPr>
        <w:t>Разработал:</w:t>
      </w:r>
      <w:r>
        <w:rPr>
          <w:rFonts w:eastAsia="Calibri" w:ascii="Times New Roman" w:hAnsi="Times New Roman"/>
          <w:b/>
          <w:lang w:eastAsia="en-US"/>
        </w:rPr>
        <w:t xml:space="preserve">   </w:t>
      </w:r>
      <w:proofErr w:type="gramEnd"/>
      <w:r>
        <w:rPr>
          <w:rFonts w:eastAsia="Calibri" w:ascii="Times New Roman" w:hAnsi="Times New Roman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 w:ascii="Times New Roman" w:hAnsi="Times New Roman"/>
          <w:b/>
          <w:lang w:eastAsia="en-US"/>
        </w:rPr>
        <w:t xml:space="preserve">преподаватель </w:t>
      </w:r>
      <w:r>
        <w:rPr>
          <w:rFonts w:eastAsia="Calibri" w:ascii="Times New Roman" w:hAnsi="Times New Roman"/>
          <w:b/>
          <w:lang w:eastAsia="en-US"/>
        </w:rPr>
        <w:t>кафедры «</w:t>
      </w:r>
      <w:r>
        <w:rPr>
          <w:rFonts w:eastAsia="Calibri" w:ascii="Times New Roman" w:hAnsi="Times New Roman"/>
          <w:b/>
          <w:lang w:eastAsia="en-US"/>
        </w:rPr>
        <w:tab/>
        <w:t xml:space="preserve">                 </w:t>
      </w:r>
      <w:proofErr w:type="gramStart"/>
      <w:r>
        <w:rPr>
          <w:rFonts w:eastAsia="Calibri" w:ascii="Times New Roman" w:hAnsi="Times New Roman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rPr>
          <w:rFonts w:ascii="Times New Roman" w:hAnsi="Times New Roman"/>
        </w:rP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</w:rPr>
        <w:t>Тема занятия, номер занятия по теме: Тема 4. Проектирование структур баз данных — Средства проектирования структур БД: объекты, Занятие №21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</w:rPr>
        <w:t>Тип занятия: Урок усвоения новых знаний (урок с объяснением теории)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</w:rPr>
        <w:t>Вид занятия: Урок с объяснением теории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</w:rPr>
        <w:t>Используемые педагогические технологии: Информационно-коммуникационные технологии, проблемное обучение, развивающее обучение, сравнительный архитектурный анализ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</w:rPr>
        <w:t>Цель занятия: Сформировать у обучающихся целостную систему знаний об инфраструктуре объектов реляционной СУБД (схемы, таблицы, VIEW, MATERIALIZED VIEW, SEQUENCE, типы ENUM, индексы, роли безопасности) и методологии визуального проектирования в CASE-инструментах (Forward/Reverse Engineering).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rPr>
          <w:rFonts w:ascii="Times New Roman" w:hAnsi="Times New Roman"/>
        </w:rPr>
        <w:t>Задачи занятия:</w:t>
        <w:br/>
        <w:t>обучающие: изучить архитектуру физических поисковых механизмов СУБД (Sequential Scan, B-Tree Index Scan, Bitmap Index Scan, GIN Scan); освоить правила построения составных индексов («равенства вперед, диапазоны в конец»); изучить ограничения оператора LIKE и специфику национальных локалей (varchar_pattern_ops); освоить синтаксис полнотекстового поиска PostgreSQL и составление поискового протокола;</w:t>
        <w:br/>
        <w:t>развивающие: развивать аналитическое инженерное мышление, способность сопоставлять математическую сложность O(log N) и O(N) с метриками дискового ввода-вывода (Shared Hit Blocks) и временем выполнения запроса;</w:t>
        <w:br/>
        <w:t>воспитательные: формировать культуру осознанного проектирования структур данных, ответственности за отзывчивость пользовательских интерфейсов и стабильность высоконагруженных СУБД.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rPr>
          <w:rFonts w:ascii="Times New Roman" w:hAnsi="Times New Roman"/>
        </w:rPr>
        <w:t>обучающие: изучить иерархию каталога СУБД (Кластер -&gt; БД -&gt; Схема -&gt; Объекты); исследовать особенности работы генераторов SEQUENCE в Shared Memory; освоить архитектурные различия динамических VIEW и материализованных витрин MATERIALIZED VIEW с неблокирующим обновлением REFRESH CONCURRENTLY; изучить функции CASE-инструментов (pgModeler, DBeaver, dbForge Studio, ERwin).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rPr>
          <w:rFonts w:ascii="Times New Roman" w:hAnsi="Times New Roman"/>
        </w:rPr>
        <w:t>развивающие: развивать системное архитектурно-инженерное мышление при выборе между предвычисленными витринами данных и динамическими представлениями; формировать навыки модульной декомпозиции монолитных схем.</w:t>
      </w:r>
    </w:p>
    <w:p w14:paraId="5C64663F" w14:textId="10CD1F58" w:rsidR="00DA6104" w:rsidRDefault="00DA6104" w:rsidP="00DA6104">
      <w:pPr>
        <w:ind w:left="360"/>
        <w:jc w:val="both"/>
      </w:pPr>
      <w:r>
        <w:rPr>
          <w:rFonts w:ascii="Times New Roman" w:hAnsi="Times New Roman"/>
        </w:rPr>
        <w:t>воспитательные: содействовать формированию профессиональной ответственности за безопасность данных (принцип наименьших привилегий Least Privilege, сокрытие ПДн через представления) и строгость типизации.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rPr>
          <w:rFonts w:ascii="Times New Roman" w:hAnsi="Times New Roman"/>
        </w:rPr>
        <w:t>Прогнозируемый результат: Знания: системная иерархия объектов СУБД, параметры SEQUENCE, различия между VIEW и MATERIALIZED VIEW, назначение CASE-средств, принципы Forward/Reverse Engineering. Умения: проектировать модульные схемы, создавать генераторы суррогатных ключей, материализованные витрины с уникальными индексами и настраивать права доступа через представления.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rPr>
          <w:rFonts w:ascii="Times New Roman" w:hAnsi="Times New Roman"/>
        </w:rPr>
        <w:t>Оборудование (материалы): Персональные компьютеры обучающихся, интерактивные веб-материалы (презентация 15 слайдов, интерактивный рабочий лист zanyatie.html, теоретический конспект lekciya.html).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rFonts w:ascii="Times New Roman" w:hAnsi="Times New Roman"/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rFonts w:ascii="Times New Roman" w:hAnsi="Times New Roman"/>
          <w:b/>
          <w:sz w:val="22"/>
          <w:szCs w:val="22"/>
        </w:rPr>
        <w:t>деятельностная</w:t>
      </w:r>
      <w:proofErr w:type="spellEnd"/>
      <w:r w:rsidRPr="00EA062D">
        <w:rPr>
          <w:rFonts w:ascii="Times New Roman" w:hAnsi="Times New Roman"/>
          <w:b/>
          <w:sz w:val="22"/>
          <w:szCs w:val="22"/>
        </w:rPr>
        <w:t xml:space="preserve"> структура</w:t>
      </w:r>
      <w:r>
        <w:rPr>
          <w:rFonts w:ascii="Times New Roman" w:hAnsi="Times New Roman"/>
          <w:b/>
          <w:sz w:val="22"/>
          <w:szCs w:val="22"/>
        </w:rPr>
        <w:t xml:space="preserve"> занятия</w:t>
      </w:r>
      <w:r w:rsidR="007F30B2">
        <w:rPr>
          <w:rFonts w:ascii="Times New Roman" w:hAnsi="Times New Roman"/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rFonts w:ascii="Times New Roman" w:hAnsi="Times New Roman"/>
          <w:b/>
          <w:sz w:val="22"/>
          <w:szCs w:val="22"/>
        </w:rPr>
        <w:t>Этап 1</w:t>
      </w:r>
      <w:r w:rsidRPr="00EA062D">
        <w:rPr>
          <w:rFonts w:ascii="Times New Roman" w:hAnsi="Times New Roman"/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rFonts w:ascii="Times New Roman" w:hAnsi="Times New Roman"/>
          <w:b/>
          <w:sz w:val="22"/>
          <w:szCs w:val="22"/>
        </w:rPr>
        <w:t xml:space="preserve">Этап 2 </w:t>
      </w:r>
      <w:r w:rsidRPr="00EA062D">
        <w:rPr>
          <w:rFonts w:ascii="Times New Roman" w:hAnsi="Times New Roman"/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rFonts w:ascii="Times New Roman" w:hAnsi="Times New Roman"/>
          <w:b/>
          <w:sz w:val="22"/>
          <w:szCs w:val="22"/>
        </w:rPr>
        <w:t xml:space="preserve">Этап 3 </w:t>
      </w:r>
      <w:r w:rsidRPr="00EA062D">
        <w:rPr>
          <w:rFonts w:ascii="Times New Roman" w:hAnsi="Times New Roman"/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rFonts w:ascii="Times New Roman" w:hAnsi="Times New Roman"/>
          <w:b/>
          <w:sz w:val="22"/>
          <w:szCs w:val="22"/>
        </w:rPr>
        <w:t xml:space="preserve">Этап 4. </w:t>
      </w:r>
      <w:r w:rsidRPr="007F30B2">
        <w:rPr>
          <w:rFonts w:ascii="Times New Roman" w:hAnsi="Times New Roman"/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*</w:t>
      </w:r>
      <w:r w:rsidR="007F30B2" w:rsidRPr="004A2B85">
        <w:rPr>
          <w:rFonts w:ascii="Times New Roman" w:hAnsi="Times New Roman"/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rFonts w:ascii="Times New Roman" w:hAnsi="Times New Roman"/>
          <w:bCs/>
          <w:sz w:val="22"/>
          <w:szCs w:val="22"/>
        </w:rPr>
        <w:t>деятельностная</w:t>
      </w:r>
      <w:proofErr w:type="spellEnd"/>
      <w:r w:rsidR="007F30B2" w:rsidRPr="004A2B85">
        <w:rPr>
          <w:rFonts w:ascii="Times New Roman" w:hAnsi="Times New Roman"/>
          <w:bCs/>
          <w:sz w:val="22"/>
          <w:szCs w:val="22"/>
        </w:rPr>
        <w:t xml:space="preserve"> структура </w:t>
      </w:r>
      <w:r w:rsidR="007F30B2">
        <w:rPr>
          <w:rFonts w:ascii="Times New Roman" w:hAnsi="Times New Roman"/>
          <w:bCs/>
          <w:sz w:val="22"/>
          <w:szCs w:val="22"/>
        </w:rPr>
        <w:t>занятия</w:t>
      </w:r>
      <w:r>
        <w:rPr>
          <w:rFonts w:ascii="Times New Roman" w:hAnsi="Times New Roman"/>
          <w:bCs/>
          <w:sz w:val="22"/>
          <w:szCs w:val="22"/>
        </w:rPr>
        <w:t xml:space="preserve"> </w:t>
      </w:r>
      <w:r w:rsidR="007F30B2" w:rsidRPr="004A2B85">
        <w:rPr>
          <w:rFonts w:ascii="Times New Roman" w:hAnsi="Times New Roman"/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rFonts w:ascii="Times New Roman" w:hAnsi="Times New Roman"/>
          <w:bCs/>
          <w:sz w:val="22"/>
          <w:szCs w:val="22"/>
        </w:rPr>
        <w:t>Например</w:t>
      </w:r>
      <w:proofErr w:type="gramEnd"/>
      <w:r w:rsidRPr="004A2B85">
        <w:rPr>
          <w:rFonts w:ascii="Times New Roman" w:hAnsi="Times New Roman"/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rFonts w:ascii="Times New Roman" w:hAnsi="Times New Roman"/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rFonts w:ascii="Times New Roman" w:hAnsi="Times New Roman"/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rFonts w:ascii="Times New Roman" w:hAnsi="Times New Roman"/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rFonts w:ascii="Times New Roman" w:hAnsi="Times New Roman"/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rPr>
          <w:rFonts w:ascii="Times New Roman" w:hAnsi="Times New Roman"/>
        </w:rP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rPr>
          <w:rFonts w:ascii="Times New Roman" w:hAnsi="Times New Roman"/>
        </w:rPr>
        <w:t>Приложение 1. Развернутый сценарий проведения учебного занятия</w:t>
      </w:r>
    </w:p>
    <w:p>
      <w:r>
        <w:rPr>
          <w:rFonts w:ascii="Times New Roman" w:hAnsi="Times New Roman"/>
        </w:rPr>
        <w:t>Этап 1. Организационный момент и старт 4 семестра (80 мин: 5 мин / 60 мин: 3 мин)</w:t>
        <w:br/>
        <w:t>Приветствие обучающихся, отметка отсутствующих, поздравление со стартом 4 семестра. Постановка целей: переход от простых таблиц к зрелой архитектуре объектов СУБД.</w:t>
      </w:r>
    </w:p>
    <w:p>
      <w:r>
        <w:rPr>
          <w:rFonts w:ascii="Times New Roman" w:hAnsi="Times New Roman"/>
        </w:rPr>
        <w:t>Этап 2. Мотивация и актуализация опорных знаний (80 мин: 10 мин / 60 мин: 7 мин)</w:t>
        <w:br/>
        <w:t>Постановка проблемного вопроса о перегрузке CPU при тяжелых аналитических отчетах. Экспресс-опрос по реляционным концепциям 3 семестра.</w:t>
      </w:r>
    </w:p>
    <w:p>
      <w:r>
        <w:rPr>
          <w:rFonts w:ascii="Times New Roman" w:hAnsi="Times New Roman"/>
        </w:rPr>
        <w:t>Этап 3. Объяснение нового теоретического материала (80 мин: 45 мин / 60 мин: 34 мин)</w:t>
        <w:br/>
        <w:t>Разбор иерархии Кластер -&gt; БД -&gt; Схема -&gt; Объекты. Специфика SEQUENCE и кэширования. Сравнение динамических VIEW и материализованных витрин MATERIALIZED VIEW (REFRESH CONCURRENTLY). Обзор CASE-инструментов (pgModeler, DBeaver, dbForge Studio, ERwin) и инженерии Forward/Reverse Engineering.</w:t>
      </w:r>
    </w:p>
    <w:p>
      <w:r>
        <w:rPr>
          <w:rFonts w:ascii="Times New Roman" w:hAnsi="Times New Roman"/>
        </w:rPr>
        <w:t>Этап 4. Закрепление материала и разбор кейсов (80 мин: 17 мин / 60 мин: 14 мин)</w:t>
        <w:br/>
        <w:t>Разбор 4 отраслевых кейсов рабочего листа (ЖКХ, Радиология PACS, Доставка посылок, Электронный деканат). Демонстрация Слайда 15 с веб-комиксом xkcd 327 «Little Bobby Tables» для закрепления архитектурной защиты данных.</w:t>
      </w:r>
    </w:p>
    <w:p>
      <w:r>
        <w:rPr>
          <w:rFonts w:ascii="Times New Roman" w:hAnsi="Times New Roman"/>
        </w:rPr>
        <w:t>Этап 5. Подведение итогов занятия, рефлексия, инструкции (80 мин: 3 мин / 60 мин: 2 мин)</w:t>
        <w:br/>
        <w:t>Резюме занятия, анонс следующей практической работы по моделированию, разъяснение статуса резервного домашнего задания.</w:t>
      </w:r>
    </w:p>
    <w:p>
      <w:r>
        <w:rPr>
          <w:rFonts w:ascii="Times New Roman" w:hAnsi="Times New Roman"/>
        </w:rPr>
      </w:r>
    </w:p>
    <w:p>
      <w:r>
        <w:rPr>
          <w:rFonts w:ascii="Times New Roman" w:hAnsi="Times New Roman"/>
        </w:rP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Вариант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Предметная область и схемы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Специализированные объекты БД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Архитектурное назначение и безопасность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Биллинговая система ЖКХ (схема billing: subscribers, meters, accruals, receipts).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1) SEQUENCE receipt_num_seq (старт 100000, кэш 20); 2) MATERIALIZED VIEW mv_district_debt_summary с агрегацией задолженностей; 3) UNIQUE INDEX по полям витрины.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Предварительный расчет тяжелых финансовых агрегатов; мгновенный отклик O(log N); фоновое обновление REFRESH CONCURRENTLY без блокировки чтения.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Вариант 2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Медицинская система PACS (схема imaging: patients, dicom_studies, study_reports).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1) TYPE modality_type AS ENUM ('CT', 'MRI', 'XRAY', 'US'); 2) Динамическое VIEW v_anonymized_studies со скрытием ФИО; 3) Роль ai_researcher с избирательными правами.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Защита персональных данных (Security through Views); строгая типизация оборудования томографов; запрет прямого доступа к базовым таблицам.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Вариант 3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Служба доставки посылок (схема logistics: parcels, warehouses, tracking_events).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1) SEQUENCE tracking_seq для генерации трек-номеров с префиксом; 2) Партиционированная таблица tracking_events по месяцам; 3) MATERIALIZED VIEW mv_warehouse_daily_load.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Высокопроизводительная генерация уникальных трек-номеров без блокировок; секционирование гигантских таблиц истории; быстрая аналитика загрузки хабов.</w:t>
            </w:r>
          </w:p>
        </w:tc>
      </w:tr>
      <w:tr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Вариант 4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Электронный деканат вуза (изоляция схем personal и academic).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1) Разделение схем personal.students и academic.student_registry; 2) VIEW v_exam_grade_sheet без доступа к паспортам; 3) Роль teacher_role с правами только на academic.</w:t>
            </w:r>
          </w:p>
        </w:tc>
        <w:tc>
          <w:tcPr>
            <w:tcW w:type="dxa" w:w="2480"/>
          </w:tcPr>
          <w:p>
            <w:r>
              <w:rPr>
                <w:rFonts w:ascii="Times New Roman" w:hAnsi="Times New Roman"/>
              </w:rPr>
              <w:t>Модульная декомпозиция монолита; защита конфиденциальных данных студентов; соответствие принципу наименьших привилегий Least Privilege.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