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Тема 3. Этапы проектирования баз данных — Практическое занятие №6: ключевые поля, индексы, связи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занятия, номер занятия по теме: Тема 3. Этапы проектирования баз данных — Практическое занятие №6: ключевые поля, индексы, связи, Занятие №18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Урок применения знаний и умений (практическое занятие)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Практическое занятие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Информационно-коммуникационные технологии, технология проблемного обучения, развивающее обучение, кейс-метод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практические навыки проектирования ключевых полей, связей и физических индексов в реляционных базах данных: освоение алгоритма поиска по сбалансированному дереву B-Tree, проектирование уникальных и составных индексов с учетом правила левого префикса, обязательная индексация внешних ключей (FK) для устранения Seq Scan при JOIN и предотвращения каскадных блокировок, анализ накладных расходов DML и чтение планов запросов EXPLAIN.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>
        <w:t>Задачи занятия: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 изучить физическую структуру сбалансированного дерева B-Tree; освоить проектирование уникальных и неуникальных индексов; освоить составные индексы и правило левого префикса; научиться обязательно индексировать внешние ключи (FK) для ускорения JOIN и предотвращения блокировок; изучить накладные расходы DML при вставке и обновлении; освоить частичные индексы (Partial Index) и чтение планов EXPLAIN;</w:t>
        <w:br/>
        <w:t>развивающие: развивать системное инженерное мышление и способность оценивать производительность запросов по метрикам стоимости и чтения диска;</w:t>
        <w:br/>
        <w:t>воспитательные: формировать культуру строгого проектирования структур данных и ответственности за быстродействие и стабильность СУБД.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 развивать математическую строгость и системное инженерное мышление при проверке качества декомпозиции схемы БД; формировать способность прогнозировать аномалии данных и появление ложных кортежей на основе контрпримеров;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 содействовать формированию профессиональной ответственности за архитектурную надежность и транзакционную достоверность корпоративных баз данных.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Прогнозируемый результат: Знания: назначение и устройство B-Tree индекса; отличия уникальных и неуникальных индексов; правило левого префикса в составных индексах; золотое правило порядка полей (равенство -&gt; диапазон -&gt; сортировка); причины каскадных блокировок при неиндексированных FK; влияние индексов на скорость чтения vs накладные расходы DML; базовые типы узлов EXPLAIN (Seq Scan, Index Scan, Index Only Scan).</w:t>
        <w:br/>
        <w:t>Умения: создавать первичные и внешние ключи; проектировать и создавать индексы с помощью SQL (CREATE INDEX, CREATE UNIQUE INDEX); рассчитывать селективность колонок; оптимизировать сложные выборки составными индексами; находить узкие места по планам EXPLAIN.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 Персональные компьютеры обучающихся с современным веб-браузером, комплект интерактивных веб-материалов (интерактивный рабочий лист zanyatie.html, презентация prezentaciya.html, теоретический конспект lekciya.html, критериальная рубрика .rubrika.md), мультимедийный проектор.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r>
        <w:t>Список использованных источников:</w:t>
        <w:br/>
        <w:t>1. Кузнецов С. Д. Основы баз данных. — 2-е изд. — М.: Интернет-Университет Информационных Технологий; БИНОМ. Лаборатория знаний, 2017. — 272 с.</w:t>
        <w:br/>
        <w:t>2. Дейт К. Дж. Введение в системы баз данных. — 8-е изд. — М.: Издательский дом «Вильямс», 2018. — 1328 с.</w:t>
        <w:br/>
        <w:t>3. Гарсиа-Молина Г., Ульман Дж., Уидом Дж. Системы баз данных. Полный курс. — М.: Издательский дом «Вильямс», 2020. — 1088 с.</w:t>
        <w:br/>
        <w:t>4. Коннолли Т., Бегг К. Базы данных. Проектирование, реализация и сопровождение. Теория и практика. — 3-е изд. — М.: Издательский дом «Вильямс», 2017. — 1440 с.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t>Приложение 1. Развернутый сценарий проведения учебного занятия</w:t>
      </w:r>
    </w:p>
    <w:p>
      <w:r>
        <w:t>Этап 1. Организационный момент и проблемная мотивация (80 мин: 5 мин / 60 мин: 3 мин)</w:t>
        <w:br/>
        <w:t>Преподаватель приветствует обучающихся, отмечает явку и ставит мотивационный кейс: аварийный отказ сервера интернет-банка в день массового формирования выписок клиентами из-за 100% утилизации дискового ввода-вывода (Seq Scan по миллионам транзакций) и спасение системы созданием одного составного B-Tree индекса.</w:t>
      </w:r>
    </w:p>
    <w:p>
      <w:r>
        <w:t>Этап 2. Актуализация опорных знаний (80 мин: 8 мин / 60 мин: 5 мин)</w:t>
        <w:br/>
        <w:t>Фронтальный экспресс-опрос: понятие кучи (Heap), сложность последовательного поиска O(N), отличие первичного ключа от внешнего ключа, миф об автоматической индексации внешних ключей СУБД.</w:t>
      </w:r>
    </w:p>
    <w:p>
      <w:r>
        <w:t>Этап 3. Инструктаж и теоретический базис физического индексирования (80 мин: 18 мин / 60 мин: 12 мин)</w:t>
        <w:br/>
        <w:t>Демонстрация интерактивной презентации prezentaciya.html (слайды 2–12): структура сбалансированного дерева B-Tree, составные индексы (Composite Index) и правило левого префикса, селективность колонок, кластеризованные vs некластеризованные индексы, накладные расходы при вставке и обновлении (DML Overhead, расщепление страниц Page Split), частичные индексы (Partial Index).</w:t>
      </w:r>
    </w:p>
    <w:p>
      <w:r>
        <w:t>Этап 4. Разбор сквозного инженерного кейса и планов EXPLAIN (80 мин: 12 мин / 60 мин: 10 мин)</w:t>
        <w:br/>
        <w:t>Преподаватель на проекторе разбирает чтение планов выполнения EXPLAIN ANALYZE (Seq Scan vs Index Scan), наглядно демонстрирует блокировку дочерней таблицы при отсутствии индекса на внешнем ключе во время удаления строки родителя.</w:t>
      </w:r>
    </w:p>
    <w:p>
      <w:r>
        <w:t>Этап 5. Практическая работа студентов в zanyatie.html (80 мин: 28 мин / 60 мин: 24 мин)</w:t>
        <w:br/>
        <w:t>Самостоятельная работа студентов в интерактивном листе zanyatie.html по 4 дифференцированным вариантам (Вариант 1: Интернет-банкинг; Вариант 2: Биллинг связи; Вариант 3: Каталог недвижимости; Вариант 4: Служба логистики). Консультации преподавателя и контроль фиксации ответов в localStorage.</w:t>
      </w:r>
    </w:p>
    <w:p>
      <w:r>
        <w:t>Этап 6. Подведение итогов, рефлексия и оценка (80 мин: 9 мин / 60 мин: 6 мин)</w:t>
        <w:br/>
        <w:t>Экспертный разбор типичных студенческих ошибок (индексация всех полей подряд, постановка диапазона перед равенством в составном индексе, пропуск индексации FK). Демонстрация слайда 15 с веб-комиксом Little Bobby Tables (xkcd #327). Выставление отметок по 4-балльной рубрике (.rubrika.md), инструктаж по экспорту в PDF и условиям сдачи резервного ДЗ (domashnee_zadanie.html).</w:t>
      </w:r>
    </w:p>
    <w:p>
      <w:r>
        <w:t>Приложение 2. Варианты практических заданий для обучающихся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</w:tcPr>
          <w:p>
            <w:r>
              <w:t>Вариант</w:t>
            </w:r>
          </w:p>
        </w:tc>
        <w:tc>
          <w:tcPr>
            <w:tcW w:type="dxa" w:w="2480"/>
          </w:tcPr>
          <w:p>
            <w:r>
              <w:t>Предметная область и схема</w:t>
            </w:r>
          </w:p>
        </w:tc>
        <w:tc>
          <w:tcPr>
            <w:tcW w:type="dxa" w:w="2480"/>
          </w:tcPr>
          <w:p>
            <w:r>
              <w:t>Исследуемые зависимости и коллизии</w:t>
            </w:r>
          </w:p>
        </w:tc>
        <w:tc>
          <w:tcPr>
            <w:tcW w:type="dxa" w:w="2480"/>
          </w:tcPr>
          <w:p>
            <w:r>
              <w:t>Резолюция и проектное решение</w:t>
            </w:r>
          </w:p>
        </w:tc>
      </w:tr>
      <w:tr>
        <w:tc>
          <w:tcPr>
            <w:tcW w:type="dxa" w:w="2480"/>
          </w:tcPr>
          <w:p>
            <w:r>
              <w:t>Вариант 1</w:t>
            </w:r>
          </w:p>
        </w:tc>
        <w:tc>
          <w:tcPr>
            <w:tcW w:type="dxa" w:w="2480"/>
          </w:tcPr>
          <w:p>
            <w:r>
              <w:t>Интернет-банкинг: таблицы Счета и Транзакции; индексация внешнего ключа id_счета, создание составного B-Tree индекса (id_клиента, дата_транзакции), анализ ускорения выписки.</w:t>
            </w:r>
          </w:p>
        </w:tc>
        <w:tc>
          <w:tcPr>
            <w:tcW w:type="dxa" w:w="2480"/>
          </w:tcPr>
          <w:p>
            <w:r>
              <w:t>Сравнение декомпозиций: D1 = {(A,B), (A,C)} vs D2 = {(A,B), (B,C)}.</w:t>
            </w:r>
          </w:p>
        </w:tc>
        <w:tc>
          <w:tcPr>
            <w:tcW w:type="dxa" w:w="2480"/>
          </w:tcPr>
          <w:p>
            <w:r>
              <w:t>По Риссанену: D1 — без потерь (A — ключ R1). D2 — декомпозиция с потерями, порождает 2 ложных кортежа.</w:t>
            </w:r>
          </w:p>
        </w:tc>
      </w:tr>
      <w:tr>
        <w:tc>
          <w:tcPr>
            <w:tcW w:type="dxa" w:w="2480"/>
          </w:tcPr>
          <w:p>
            <w:r>
              <w:t>Вариант 2</w:t>
            </w:r>
          </w:p>
        </w:tc>
        <w:tc>
          <w:tcPr>
            <w:tcW w:type="dxa" w:w="2480"/>
          </w:tcPr>
          <w:p>
            <w:r>
              <w:t>Биллинг связи: таблицы Абоненты, Звонки, Тарифы; частичный индекс (Partial Index) на активные вызовы WHERE статус = 'ACTIVE', оптимизация поиска по номеру.</w:t>
            </w:r>
          </w:p>
        </w:tc>
        <w:tc>
          <w:tcPr>
            <w:tcW w:type="dxa" w:w="2480"/>
          </w:tcPr>
          <w:p>
            <w:r>
              <w:t>Сохранение зависимости {Кол-во, Цена} → Сумма при декомпозиции; историчность цен.</w:t>
            </w:r>
          </w:p>
        </w:tc>
        <w:tc>
          <w:tcPr>
            <w:tcW w:type="dxa" w:w="2480"/>
          </w:tcPr>
          <w:p>
            <w:r>
              <w:t>Запрет удаления цены из заказа (Point-in-time); генерация поля Сумма через CHECK/GENERATED column; 3НФ с сохранением ФЗ.</w:t>
            </w:r>
          </w:p>
        </w:tc>
      </w:tr>
      <w:tr>
        <w:tc>
          <w:tcPr>
            <w:tcW w:type="dxa" w:w="2480"/>
          </w:tcPr>
          <w:p>
            <w:r>
              <w:t>Вариант 3</w:t>
            </w:r>
          </w:p>
        </w:tc>
        <w:tc>
          <w:tcPr>
            <w:tcW w:type="dxa" w:w="2480"/>
          </w:tcPr>
          <w:p>
            <w:r>
              <w:t>Каталог недвижимости: таблицы Объекты, Города, Риелторы; составной индекс по диапазону (город_id, комнат, цена), обоснование порядка полей по селективности.</w:t>
            </w:r>
          </w:p>
        </w:tc>
        <w:tc>
          <w:tcPr>
            <w:tcW w:type="dxa" w:w="2480"/>
          </w:tcPr>
          <w:p>
            <w:r>
              <w:t>Независимые множества фактов: MVD Преподаватель ↠ Дисциплина и Преподаватель ↠ Учебник; взрыв строк.</w:t>
            </w:r>
          </w:p>
        </w:tc>
        <w:tc>
          <w:tcPr>
            <w:tcW w:type="dxa" w:w="2480"/>
          </w:tcPr>
          <w:p>
            <w:r>
              <w:t>Декомпозиция по теореме Фейгина в 4НФ: R1(Преподаватель, Дисциплина) и R2(Преподаватель, Учебник); сокращение объема хранения.</w:t>
            </w:r>
          </w:p>
        </w:tc>
      </w:tr>
      <w:tr>
        <w:tc>
          <w:tcPr>
            <w:tcW w:type="dxa" w:w="2480"/>
          </w:tcPr>
          <w:p>
            <w:r>
              <w:t>Вариант 4</w:t>
            </w:r>
          </w:p>
        </w:tc>
        <w:tc>
          <w:tcPr>
            <w:tcW w:type="dxa" w:w="2480"/>
          </w:tcPr>
          <w:p>
            <w:r>
              <w:t>Служба логистики и доставки: таблицы Заказы, Курьеры, Маршруты; уникальный индекс на трек-номер, индекс по внешнему ключу курьера для ускорения ежедневных отчетов.</w:t>
            </w:r>
          </w:p>
        </w:tc>
        <w:tc>
          <w:tcPr>
            <w:tcW w:type="dxa" w:w="2480"/>
          </w:tcPr>
          <w:p>
            <w:r>
              <w:t>Проблема JOIN по 50 млн строк в сутки; денормализация Названия_товара в строки чека.</w:t>
            </w:r>
          </w:p>
        </w:tc>
        <w:tc>
          <w:tcPr>
            <w:tcW w:type="dxa" w:w="2480"/>
          </w:tcPr>
          <w:p>
            <w:r>
              <w:t>Обоснование контролируемой денормализации витрины (OLAP); внедрение компенсирующих триггеров и потоков CDC для защиты от рассинхронизации.</w:t>
            </w:r>
          </w:p>
        </w:tc>
      </w:tr>
    </w:tbl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